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Te</w:t>
      </w:r>
      <w:r w:rsidR="001155B0">
        <w:rPr>
          <w:rFonts w:ascii="Calibri Light" w:eastAsia="Arial Unicode MS" w:hAnsi="Calibri Light" w:cs="Calibri Light"/>
          <w:sz w:val="22"/>
          <w:szCs w:val="22"/>
        </w:rPr>
        <w:t>rmomodernizacja budynku szkoły i sali gimnastycznej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FC7C55">
        <w:rPr>
          <w:rFonts w:ascii="Calibri Light" w:eastAsia="Arial Unicode MS" w:hAnsi="Calibri Light" w:cs="Calibri Light"/>
          <w:snapToGrid w:val="0"/>
          <w:sz w:val="22"/>
          <w:szCs w:val="22"/>
        </w:rPr>
        <w:t>Termomodernizacja budynku szkoły i sali gimnastycznej</w:t>
      </w:r>
      <w:r w:rsidR="0039138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na gruncie niniejszej Umowy rozumie się wykonanie przedmiotu Umowy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915C8">
        <w:rPr>
          <w:rFonts w:ascii="Calibri Light" w:eastAsia="Arial Unicode MS" w:hAnsi="Calibri Light" w:cs="Calibri Light"/>
          <w:sz w:val="22"/>
          <w:szCs w:val="22"/>
        </w:rPr>
        <w:t>6</w:t>
      </w:r>
      <w:r w:rsidR="00FC7C55" w:rsidRPr="00FC7C55">
        <w:rPr>
          <w:rFonts w:ascii="Calibri Light" w:eastAsia="Arial Unicode MS" w:hAnsi="Calibri Light" w:cs="Calibri Light"/>
          <w:sz w:val="22"/>
          <w:szCs w:val="22"/>
        </w:rPr>
        <w:t>0</w:t>
      </w:r>
      <w:r w:rsidR="00F10602" w:rsidRPr="00FC7C55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kalendarzowych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przed podpisaniem umowy złożył kosztorys wskazujący sposób kalkulacji wynagrodzenia ryczałtowego (uwzględniający wszystkie przewidziane przedmiotem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Budowy 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</w:t>
      </w:r>
      <w:r w:rsidR="00CB43DF" w:rsidRPr="00E67556">
        <w:rPr>
          <w:rFonts w:ascii="Calibri Light" w:eastAsia="Arial Unicode MS" w:hAnsi="Calibri Light" w:cs="Calibri Light"/>
        </w:rPr>
        <w:lastRenderedPageBreak/>
        <w:t xml:space="preserve">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w układzie uzgodnionym z Inspektorem nadzoru inwestorskiego. Harmonogram powinien być 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Wykonawcy na zawarcie umowy o treści zgodnej z projektem 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</w:t>
      </w:r>
      <w:r>
        <w:rPr>
          <w:rFonts w:ascii="Calibri Light" w:eastAsia="Arial Unicode MS" w:hAnsi="Calibri Light" w:cs="Calibri Light"/>
          <w:color w:val="auto"/>
        </w:rPr>
        <w:lastRenderedPageBreak/>
        <w:t>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Zestawienia należności przysługujących wszystkim podwykonawcom i dalszym podwykonawcom, którzy wykonali czynności wchodzące w zakres przedmiot Umowy (względnie części przedmiotu Umowy) objęty odbiorem, będącym podstawą 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lastRenderedPageBreak/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lastRenderedPageBreak/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Pr="00E73F42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lastRenderedPageBreak/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97" w:rsidRDefault="006D2697">
      <w:r>
        <w:separator/>
      </w:r>
    </w:p>
  </w:endnote>
  <w:endnote w:type="continuationSeparator" w:id="0">
    <w:p w:rsidR="006D2697" w:rsidRDefault="006D2697">
      <w:r>
        <w:continuationSeparator/>
      </w:r>
    </w:p>
  </w:endnote>
  <w:endnote w:type="continuationNotice" w:id="1">
    <w:p w:rsidR="006D2697" w:rsidRDefault="006D26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2A2141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2A2141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F76874">
      <w:rPr>
        <w:rFonts w:ascii="Arial" w:hAnsi="Arial" w:cs="Arial"/>
        <w:b/>
        <w:bCs/>
        <w:noProof/>
        <w:sz w:val="16"/>
        <w:szCs w:val="16"/>
      </w:rPr>
      <w:t>16</w:t>
    </w:r>
    <w:r w:rsidR="002A2141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2A2141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2A2141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F76874">
      <w:rPr>
        <w:rFonts w:ascii="Arial" w:hAnsi="Arial" w:cs="Arial"/>
        <w:b/>
        <w:bCs/>
        <w:noProof/>
        <w:sz w:val="16"/>
        <w:szCs w:val="16"/>
      </w:rPr>
      <w:t>22</w:t>
    </w:r>
    <w:r w:rsidR="002A2141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97" w:rsidRDefault="006D2697">
      <w:r>
        <w:separator/>
      </w:r>
    </w:p>
  </w:footnote>
  <w:footnote w:type="continuationSeparator" w:id="0">
    <w:p w:rsidR="006D2697" w:rsidRDefault="006D2697">
      <w:r>
        <w:continuationSeparator/>
      </w:r>
    </w:p>
  </w:footnote>
  <w:footnote w:type="continuationNotice" w:id="1">
    <w:p w:rsidR="006D2697" w:rsidRDefault="006D26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8915C8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5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2141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697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5C8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6874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BD59-C1C5-481E-A68B-3A96BA9B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8991</Words>
  <Characters>53952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62818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2022-05-19T10:26:00Z</dcterms:created>
  <dcterms:modified xsi:type="dcterms:W3CDTF">2022-05-19T10:26:00Z</dcterms:modified>
</cp:coreProperties>
</file>